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513AA" w14:textId="77777777" w:rsidR="00FC2FAB" w:rsidRPr="001D14A5" w:rsidRDefault="00FC2FAB">
      <w:pPr>
        <w:rPr>
          <w:sz w:val="20"/>
          <w:szCs w:val="20"/>
        </w:rPr>
      </w:pPr>
      <w:r w:rsidRPr="001D14A5">
        <w:rPr>
          <w:sz w:val="20"/>
          <w:szCs w:val="20"/>
        </w:rPr>
        <w:t>Share Multi Academy Trust</w:t>
      </w:r>
    </w:p>
    <w:p w14:paraId="13A025D8" w14:textId="1BB8C5E5" w:rsidR="00CD1790" w:rsidRPr="001D14A5" w:rsidRDefault="00FC2FAB">
      <w:pPr>
        <w:rPr>
          <w:sz w:val="20"/>
          <w:szCs w:val="20"/>
        </w:rPr>
      </w:pPr>
      <w:r w:rsidRPr="001D14A5">
        <w:rPr>
          <w:sz w:val="20"/>
          <w:szCs w:val="20"/>
        </w:rPr>
        <w:t>Curriculum Planning Template</w:t>
      </w:r>
    </w:p>
    <w:p w14:paraId="1A8C9B5D" w14:textId="1F3108F7" w:rsidR="002475CF" w:rsidRPr="001D14A5" w:rsidRDefault="002475CF">
      <w:pPr>
        <w:rPr>
          <w:sz w:val="20"/>
          <w:szCs w:val="20"/>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D14A5"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D14A5" w:rsidRDefault="002475CF" w:rsidP="00597073">
            <w:pPr>
              <w:rPr>
                <w:color w:val="E7E6E6" w:themeColor="background2"/>
                <w:sz w:val="20"/>
                <w:szCs w:val="20"/>
              </w:rPr>
            </w:pPr>
            <w:r w:rsidRPr="001D14A5">
              <w:rPr>
                <w:color w:val="E7E6E6" w:themeColor="background2"/>
                <w:sz w:val="20"/>
                <w:szCs w:val="20"/>
              </w:rPr>
              <w:t>Subject:</w:t>
            </w:r>
          </w:p>
        </w:tc>
        <w:tc>
          <w:tcPr>
            <w:tcW w:w="2552" w:type="dxa"/>
          </w:tcPr>
          <w:p w14:paraId="572DE178" w14:textId="4E88E702" w:rsidR="002475CF" w:rsidRPr="001D14A5" w:rsidRDefault="00447F1F" w:rsidP="00597073">
            <w:pPr>
              <w:cnfStyle w:val="100000000000" w:firstRow="1" w:lastRow="0" w:firstColumn="0" w:lastColumn="0" w:oddVBand="0" w:evenVBand="0" w:oddHBand="0" w:evenHBand="0" w:firstRowFirstColumn="0" w:firstRowLastColumn="0" w:lastRowFirstColumn="0" w:lastRowLastColumn="0"/>
              <w:rPr>
                <w:sz w:val="20"/>
                <w:szCs w:val="20"/>
              </w:rPr>
            </w:pPr>
            <w:r w:rsidRPr="001D14A5">
              <w:rPr>
                <w:sz w:val="20"/>
                <w:szCs w:val="20"/>
              </w:rPr>
              <w:t>ENGLISH</w:t>
            </w:r>
            <w:r w:rsidR="002422EA">
              <w:rPr>
                <w:sz w:val="20"/>
                <w:szCs w:val="20"/>
              </w:rPr>
              <w:t xml:space="preserve"> LITERATURE</w:t>
            </w:r>
          </w:p>
        </w:tc>
        <w:tc>
          <w:tcPr>
            <w:tcW w:w="709" w:type="dxa"/>
          </w:tcPr>
          <w:p w14:paraId="162FAC83" w14:textId="77777777" w:rsidR="002475CF" w:rsidRPr="001D14A5"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1D14A5">
              <w:rPr>
                <w:color w:val="E7E6E6" w:themeColor="background2"/>
                <w:sz w:val="20"/>
                <w:szCs w:val="20"/>
              </w:rPr>
              <w:t>Year</w:t>
            </w:r>
          </w:p>
        </w:tc>
        <w:tc>
          <w:tcPr>
            <w:tcW w:w="2126" w:type="dxa"/>
          </w:tcPr>
          <w:p w14:paraId="3DF9D0FE" w14:textId="790BEF23" w:rsidR="002475CF" w:rsidRPr="001D14A5" w:rsidRDefault="0038346C" w:rsidP="00597073">
            <w:pPr>
              <w:cnfStyle w:val="100000000000" w:firstRow="1" w:lastRow="0" w:firstColumn="0" w:lastColumn="0" w:oddVBand="0" w:evenVBand="0" w:oddHBand="0" w:evenHBand="0" w:firstRowFirstColumn="0" w:firstRowLastColumn="0" w:lastRowFirstColumn="0" w:lastRowLastColumn="0"/>
              <w:rPr>
                <w:sz w:val="20"/>
                <w:szCs w:val="20"/>
              </w:rPr>
            </w:pPr>
            <w:r w:rsidRPr="001D14A5">
              <w:rPr>
                <w:sz w:val="20"/>
                <w:szCs w:val="20"/>
              </w:rPr>
              <w:t>9</w:t>
            </w:r>
          </w:p>
        </w:tc>
        <w:tc>
          <w:tcPr>
            <w:tcW w:w="1276" w:type="dxa"/>
          </w:tcPr>
          <w:p w14:paraId="33D36AFA" w14:textId="6FDA30B1" w:rsidR="002475CF" w:rsidRPr="001D14A5"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0"/>
                <w:szCs w:val="20"/>
              </w:rPr>
            </w:pPr>
            <w:r w:rsidRPr="001D14A5">
              <w:rPr>
                <w:color w:val="E7E6E6" w:themeColor="background2"/>
                <w:sz w:val="20"/>
                <w:szCs w:val="20"/>
              </w:rPr>
              <w:t xml:space="preserve">Ability </w:t>
            </w:r>
          </w:p>
        </w:tc>
        <w:tc>
          <w:tcPr>
            <w:tcW w:w="1417" w:type="dxa"/>
          </w:tcPr>
          <w:p w14:paraId="75027CB2" w14:textId="26F74E8C" w:rsidR="002475CF" w:rsidRPr="001D14A5" w:rsidRDefault="003A439E" w:rsidP="00597073">
            <w:pPr>
              <w:cnfStyle w:val="100000000000" w:firstRow="1" w:lastRow="0" w:firstColumn="0" w:lastColumn="0" w:oddVBand="0" w:evenVBand="0" w:oddHBand="0" w:evenHBand="0" w:firstRowFirstColumn="0" w:firstRowLastColumn="0" w:lastRowFirstColumn="0" w:lastRowLastColumn="0"/>
              <w:rPr>
                <w:sz w:val="20"/>
                <w:szCs w:val="20"/>
              </w:rPr>
            </w:pPr>
            <w:r w:rsidRPr="001D14A5">
              <w:rPr>
                <w:sz w:val="20"/>
                <w:szCs w:val="20"/>
              </w:rPr>
              <w:t>All</w:t>
            </w:r>
          </w:p>
        </w:tc>
      </w:tr>
    </w:tbl>
    <w:p w14:paraId="01D89515" w14:textId="77777777" w:rsidR="00FC2FAB" w:rsidRPr="001D14A5" w:rsidRDefault="00FC2FAB">
      <w:pPr>
        <w:rPr>
          <w:sz w:val="20"/>
          <w:szCs w:val="20"/>
        </w:rPr>
      </w:pPr>
    </w:p>
    <w:tbl>
      <w:tblPr>
        <w:tblStyle w:val="GridTable2"/>
        <w:tblW w:w="0" w:type="auto"/>
        <w:tblLook w:val="04A0" w:firstRow="1" w:lastRow="0" w:firstColumn="1" w:lastColumn="0" w:noHBand="0" w:noVBand="1"/>
      </w:tblPr>
      <w:tblGrid>
        <w:gridCol w:w="2740"/>
        <w:gridCol w:w="2488"/>
        <w:gridCol w:w="2445"/>
        <w:gridCol w:w="2380"/>
        <w:gridCol w:w="2380"/>
        <w:gridCol w:w="4249"/>
        <w:gridCol w:w="4249"/>
      </w:tblGrid>
      <w:tr w:rsidR="002422EA" w:rsidRPr="001D14A5" w14:paraId="72384581" w14:textId="4833E6A5" w:rsidTr="002422E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40" w:type="dxa"/>
          </w:tcPr>
          <w:p w14:paraId="6CDBF049" w14:textId="77777777" w:rsidR="002422EA" w:rsidRPr="001D14A5" w:rsidRDefault="002422EA" w:rsidP="0081403D">
            <w:pPr>
              <w:rPr>
                <w:sz w:val="20"/>
                <w:szCs w:val="20"/>
              </w:rPr>
            </w:pPr>
            <w:r w:rsidRPr="001D14A5">
              <w:rPr>
                <w:sz w:val="20"/>
                <w:szCs w:val="20"/>
              </w:rPr>
              <w:t>Term / Date(s)</w:t>
            </w:r>
          </w:p>
        </w:tc>
        <w:tc>
          <w:tcPr>
            <w:tcW w:w="2488" w:type="dxa"/>
          </w:tcPr>
          <w:p w14:paraId="4C9E206D" w14:textId="3FA6C382" w:rsidR="002422EA" w:rsidRPr="001D14A5" w:rsidRDefault="002422EA" w:rsidP="0081403D">
            <w:pPr>
              <w:cnfStyle w:val="100000000000" w:firstRow="1" w:lastRow="0" w:firstColumn="0" w:lastColumn="0" w:oddVBand="0" w:evenVBand="0" w:oddHBand="0" w:evenHBand="0" w:firstRowFirstColumn="0" w:firstRowLastColumn="0" w:lastRowFirstColumn="0" w:lastRowLastColumn="0"/>
              <w:rPr>
                <w:sz w:val="20"/>
                <w:szCs w:val="20"/>
              </w:rPr>
            </w:pPr>
            <w:r w:rsidRPr="001D14A5">
              <w:rPr>
                <w:sz w:val="20"/>
                <w:szCs w:val="20"/>
              </w:rPr>
              <w:t xml:space="preserve">Half-term 1 </w:t>
            </w:r>
          </w:p>
        </w:tc>
        <w:tc>
          <w:tcPr>
            <w:tcW w:w="2445" w:type="dxa"/>
          </w:tcPr>
          <w:p w14:paraId="694EC266" w14:textId="7269FBB2" w:rsidR="002422EA" w:rsidRPr="001D14A5" w:rsidRDefault="002422EA" w:rsidP="0081403D">
            <w:pPr>
              <w:cnfStyle w:val="100000000000" w:firstRow="1" w:lastRow="0" w:firstColumn="0" w:lastColumn="0" w:oddVBand="0" w:evenVBand="0" w:oddHBand="0" w:evenHBand="0" w:firstRowFirstColumn="0" w:firstRowLastColumn="0" w:lastRowFirstColumn="0" w:lastRowLastColumn="0"/>
              <w:rPr>
                <w:sz w:val="20"/>
                <w:szCs w:val="20"/>
              </w:rPr>
            </w:pPr>
            <w:r w:rsidRPr="001D14A5">
              <w:rPr>
                <w:sz w:val="20"/>
                <w:szCs w:val="20"/>
              </w:rPr>
              <w:t xml:space="preserve">Half-term 2 </w:t>
            </w:r>
          </w:p>
        </w:tc>
        <w:tc>
          <w:tcPr>
            <w:tcW w:w="2380" w:type="dxa"/>
          </w:tcPr>
          <w:p w14:paraId="0D84A3DE" w14:textId="526471AE" w:rsidR="002422EA" w:rsidRPr="001D14A5" w:rsidRDefault="002422EA" w:rsidP="0081403D">
            <w:pPr>
              <w:cnfStyle w:val="100000000000" w:firstRow="1" w:lastRow="0" w:firstColumn="0" w:lastColumn="0" w:oddVBand="0" w:evenVBand="0" w:oddHBand="0" w:evenHBand="0" w:firstRowFirstColumn="0" w:firstRowLastColumn="0" w:lastRowFirstColumn="0" w:lastRowLastColumn="0"/>
              <w:rPr>
                <w:sz w:val="20"/>
                <w:szCs w:val="20"/>
              </w:rPr>
            </w:pPr>
            <w:r w:rsidRPr="001D14A5">
              <w:rPr>
                <w:sz w:val="20"/>
                <w:szCs w:val="20"/>
              </w:rPr>
              <w:t xml:space="preserve">Half-term 3 </w:t>
            </w:r>
          </w:p>
        </w:tc>
        <w:tc>
          <w:tcPr>
            <w:tcW w:w="2380" w:type="dxa"/>
          </w:tcPr>
          <w:p w14:paraId="348F22D6" w14:textId="3C56360D" w:rsidR="002422EA" w:rsidRPr="001D14A5" w:rsidRDefault="002422EA" w:rsidP="0081403D">
            <w:pPr>
              <w:cnfStyle w:val="100000000000" w:firstRow="1" w:lastRow="0" w:firstColumn="0" w:lastColumn="0" w:oddVBand="0" w:evenVBand="0" w:oddHBand="0" w:evenHBand="0" w:firstRowFirstColumn="0" w:firstRowLastColumn="0" w:lastRowFirstColumn="0" w:lastRowLastColumn="0"/>
              <w:rPr>
                <w:sz w:val="20"/>
                <w:szCs w:val="20"/>
              </w:rPr>
            </w:pPr>
            <w:r w:rsidRPr="001D14A5">
              <w:rPr>
                <w:sz w:val="20"/>
                <w:szCs w:val="20"/>
              </w:rPr>
              <w:t>Half-term 4</w:t>
            </w:r>
          </w:p>
        </w:tc>
        <w:tc>
          <w:tcPr>
            <w:tcW w:w="4249" w:type="dxa"/>
          </w:tcPr>
          <w:p w14:paraId="6BBD3A45" w14:textId="0E5F69AD" w:rsidR="002422EA" w:rsidRPr="001D14A5" w:rsidRDefault="002422EA"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Half-term 5</w:t>
            </w:r>
          </w:p>
        </w:tc>
        <w:tc>
          <w:tcPr>
            <w:tcW w:w="4249" w:type="dxa"/>
            <w:tcBorders>
              <w:bottom w:val="single" w:sz="2" w:space="0" w:color="666666" w:themeColor="text1" w:themeTint="99"/>
            </w:tcBorders>
          </w:tcPr>
          <w:p w14:paraId="0A241964" w14:textId="026C7983" w:rsidR="002422EA" w:rsidRPr="001D14A5" w:rsidRDefault="002422EA" w:rsidP="0081403D">
            <w:pPr>
              <w:cnfStyle w:val="100000000000" w:firstRow="1" w:lastRow="0" w:firstColumn="0" w:lastColumn="0" w:oddVBand="0" w:evenVBand="0" w:oddHBand="0" w:evenHBand="0" w:firstRowFirstColumn="0" w:firstRowLastColumn="0" w:lastRowFirstColumn="0" w:lastRowLastColumn="0"/>
              <w:rPr>
                <w:sz w:val="20"/>
                <w:szCs w:val="20"/>
              </w:rPr>
            </w:pPr>
            <w:r>
              <w:rPr>
                <w:sz w:val="20"/>
                <w:szCs w:val="20"/>
              </w:rPr>
              <w:t>Half-term 6</w:t>
            </w:r>
          </w:p>
        </w:tc>
      </w:tr>
      <w:tr w:rsidR="002422EA" w:rsidRPr="001D14A5" w14:paraId="6B62B51A" w14:textId="09BB0DCD" w:rsidTr="002422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40" w:type="dxa"/>
          </w:tcPr>
          <w:p w14:paraId="73CF56ED" w14:textId="77777777" w:rsidR="002422EA" w:rsidRPr="001D14A5" w:rsidRDefault="002422EA" w:rsidP="002422EA">
            <w:pPr>
              <w:rPr>
                <w:sz w:val="20"/>
                <w:szCs w:val="20"/>
              </w:rPr>
            </w:pPr>
            <w:r w:rsidRPr="001D14A5">
              <w:rPr>
                <w:sz w:val="20"/>
                <w:szCs w:val="20"/>
              </w:rPr>
              <w:t>Topic</w:t>
            </w:r>
          </w:p>
        </w:tc>
        <w:tc>
          <w:tcPr>
            <w:tcW w:w="4933" w:type="dxa"/>
            <w:gridSpan w:val="2"/>
          </w:tcPr>
          <w:p w14:paraId="5A288F40" w14:textId="4B49DB56"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1D14A5">
              <w:rPr>
                <w:sz w:val="20"/>
                <w:szCs w:val="20"/>
              </w:rPr>
              <w:t>Short Stories of Sherlock Holmes by Arthur Conan Doyle</w:t>
            </w:r>
          </w:p>
        </w:tc>
        <w:tc>
          <w:tcPr>
            <w:tcW w:w="4760" w:type="dxa"/>
            <w:gridSpan w:val="2"/>
          </w:tcPr>
          <w:p w14:paraId="526EB7CC" w14:textId="7C8CF261" w:rsidR="002422EA"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‘Heroes’ by Robert Cormier or ‘Animal Farm’ by George Orwell</w:t>
            </w:r>
          </w:p>
          <w:p w14:paraId="38032301" w14:textId="344EE9DE"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tc>
        <w:tc>
          <w:tcPr>
            <w:tcW w:w="4249" w:type="dxa"/>
          </w:tcPr>
          <w:p w14:paraId="516C81F6" w14:textId="77777777" w:rsidR="002422EA"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tc>
        <w:tc>
          <w:tcPr>
            <w:tcW w:w="4249" w:type="dxa"/>
            <w:tcBorders>
              <w:bottom w:val="single" w:sz="2" w:space="0" w:color="666666" w:themeColor="text1" w:themeTint="99"/>
              <w:right w:val="single" w:sz="4" w:space="0" w:color="auto"/>
            </w:tcBorders>
          </w:tcPr>
          <w:p w14:paraId="680D21A6" w14:textId="47DC9852" w:rsidR="002422EA"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A82940">
              <w:rPr>
                <w:b/>
                <w:sz w:val="20"/>
                <w:szCs w:val="20"/>
              </w:rPr>
              <w:t>Post-1914 Drama:</w:t>
            </w:r>
            <w:r>
              <w:rPr>
                <w:sz w:val="20"/>
                <w:szCs w:val="20"/>
              </w:rPr>
              <w:t xml:space="preserve"> ‘</w:t>
            </w:r>
            <w:r w:rsidRPr="009238BF">
              <w:rPr>
                <w:sz w:val="20"/>
                <w:szCs w:val="20"/>
              </w:rPr>
              <w:t>An Inspector Calls’ by J.B. Priestley</w:t>
            </w:r>
          </w:p>
        </w:tc>
      </w:tr>
      <w:tr w:rsidR="002422EA" w:rsidRPr="001D14A5" w14:paraId="3E69A59A" w14:textId="6A78036C" w:rsidTr="002422EA">
        <w:trPr>
          <w:trHeight w:val="460"/>
        </w:trPr>
        <w:tc>
          <w:tcPr>
            <w:cnfStyle w:val="001000000000" w:firstRow="0" w:lastRow="0" w:firstColumn="1" w:lastColumn="0" w:oddVBand="0" w:evenVBand="0" w:oddHBand="0" w:evenHBand="0" w:firstRowFirstColumn="0" w:firstRowLastColumn="0" w:lastRowFirstColumn="0" w:lastRowLastColumn="0"/>
            <w:tcW w:w="2740" w:type="dxa"/>
          </w:tcPr>
          <w:p w14:paraId="44CA9B2F" w14:textId="77777777" w:rsidR="002422EA" w:rsidRPr="001D14A5" w:rsidRDefault="002422EA" w:rsidP="002422EA">
            <w:pPr>
              <w:rPr>
                <w:sz w:val="20"/>
                <w:szCs w:val="20"/>
              </w:rPr>
            </w:pPr>
            <w:r w:rsidRPr="001D14A5">
              <w:rPr>
                <w:sz w:val="20"/>
                <w:szCs w:val="20"/>
              </w:rPr>
              <w:t>Topic overview</w:t>
            </w:r>
          </w:p>
          <w:p w14:paraId="2BB033EA" w14:textId="77777777" w:rsidR="002422EA" w:rsidRPr="001D14A5" w:rsidRDefault="002422EA" w:rsidP="002422EA">
            <w:pPr>
              <w:rPr>
                <w:sz w:val="20"/>
                <w:szCs w:val="20"/>
              </w:rPr>
            </w:pPr>
          </w:p>
          <w:p w14:paraId="21C469AF" w14:textId="77777777" w:rsidR="002422EA" w:rsidRPr="001D14A5" w:rsidRDefault="002422EA" w:rsidP="002422EA">
            <w:pPr>
              <w:rPr>
                <w:sz w:val="20"/>
                <w:szCs w:val="20"/>
              </w:rPr>
            </w:pPr>
            <w:r w:rsidRPr="001D14A5">
              <w:rPr>
                <w:sz w:val="20"/>
                <w:szCs w:val="20"/>
              </w:rPr>
              <w:t>Pupils will learn…</w:t>
            </w:r>
          </w:p>
          <w:p w14:paraId="0717119B" w14:textId="77777777" w:rsidR="002422EA" w:rsidRPr="001D14A5" w:rsidRDefault="002422EA" w:rsidP="002422EA">
            <w:pPr>
              <w:rPr>
                <w:sz w:val="20"/>
                <w:szCs w:val="20"/>
              </w:rPr>
            </w:pPr>
          </w:p>
        </w:tc>
        <w:tc>
          <w:tcPr>
            <w:tcW w:w="4933" w:type="dxa"/>
            <w:gridSpan w:val="2"/>
          </w:tcPr>
          <w:p w14:paraId="1251D6BD" w14:textId="2A6EE70D" w:rsidR="002422EA" w:rsidRPr="001D14A5" w:rsidRDefault="002422EA" w:rsidP="002422EA">
            <w:pPr>
              <w:cnfStyle w:val="000000000000" w:firstRow="0" w:lastRow="0" w:firstColumn="0" w:lastColumn="0" w:oddVBand="0" w:evenVBand="0" w:oddHBand="0" w:evenHBand="0" w:firstRowFirstColumn="0" w:firstRowLastColumn="0" w:lastRowFirstColumn="0" w:lastRowLastColumn="0"/>
              <w:rPr>
                <w:sz w:val="20"/>
                <w:szCs w:val="20"/>
              </w:rPr>
            </w:pPr>
            <w:r w:rsidRPr="001D14A5">
              <w:rPr>
                <w:sz w:val="20"/>
                <w:szCs w:val="20"/>
              </w:rPr>
              <w:t xml:space="preserve">The conventions of a Victorian detective story, including how Arthur Conan Doyle creates character, constructs plot and creates satisfying endings. </w:t>
            </w:r>
          </w:p>
        </w:tc>
        <w:tc>
          <w:tcPr>
            <w:tcW w:w="2380" w:type="dxa"/>
          </w:tcPr>
          <w:p w14:paraId="68A7DCA3" w14:textId="77777777" w:rsidR="002422EA" w:rsidRPr="001D14A5" w:rsidRDefault="002422EA" w:rsidP="002422EA">
            <w:pPr>
              <w:cnfStyle w:val="000000000000" w:firstRow="0" w:lastRow="0" w:firstColumn="0" w:lastColumn="0" w:oddVBand="0" w:evenVBand="0" w:oddHBand="0" w:evenHBand="0" w:firstRowFirstColumn="0" w:firstRowLastColumn="0" w:lastRowFirstColumn="0" w:lastRowLastColumn="0"/>
              <w:rPr>
                <w:sz w:val="20"/>
                <w:szCs w:val="20"/>
              </w:rPr>
            </w:pPr>
          </w:p>
        </w:tc>
        <w:tc>
          <w:tcPr>
            <w:tcW w:w="2380" w:type="dxa"/>
          </w:tcPr>
          <w:p w14:paraId="0AC83A1A" w14:textId="77777777" w:rsidR="002422EA" w:rsidRPr="001D14A5" w:rsidRDefault="002422EA" w:rsidP="002422EA">
            <w:pPr>
              <w:cnfStyle w:val="000000000000" w:firstRow="0" w:lastRow="0" w:firstColumn="0" w:lastColumn="0" w:oddVBand="0" w:evenVBand="0" w:oddHBand="0" w:evenHBand="0" w:firstRowFirstColumn="0" w:firstRowLastColumn="0" w:lastRowFirstColumn="0" w:lastRowLastColumn="0"/>
              <w:rPr>
                <w:sz w:val="20"/>
                <w:szCs w:val="20"/>
              </w:rPr>
            </w:pPr>
          </w:p>
        </w:tc>
        <w:tc>
          <w:tcPr>
            <w:tcW w:w="4249" w:type="dxa"/>
          </w:tcPr>
          <w:p w14:paraId="6460A019" w14:textId="7FF0684B" w:rsidR="002422EA" w:rsidRPr="001D14A5" w:rsidRDefault="002422EA" w:rsidP="002422EA">
            <w:pPr>
              <w:cnfStyle w:val="000000000000" w:firstRow="0" w:lastRow="0" w:firstColumn="0" w:lastColumn="0" w:oddVBand="0" w:evenVBand="0" w:oddHBand="0" w:evenHBand="0" w:firstRowFirstColumn="0" w:firstRowLastColumn="0" w:lastRowFirstColumn="0" w:lastRowLastColumn="0"/>
              <w:rPr>
                <w:sz w:val="20"/>
                <w:szCs w:val="20"/>
              </w:rPr>
            </w:pPr>
          </w:p>
        </w:tc>
        <w:tc>
          <w:tcPr>
            <w:tcW w:w="4249" w:type="dxa"/>
            <w:tcBorders>
              <w:bottom w:val="single" w:sz="2" w:space="0" w:color="666666" w:themeColor="text1" w:themeTint="99"/>
              <w:right w:val="single" w:sz="4" w:space="0" w:color="auto"/>
            </w:tcBorders>
          </w:tcPr>
          <w:p w14:paraId="192839DA" w14:textId="42670753" w:rsidR="002422EA" w:rsidRPr="001D14A5" w:rsidRDefault="002422EA" w:rsidP="002422EA">
            <w:pPr>
              <w:cnfStyle w:val="000000000000" w:firstRow="0" w:lastRow="0" w:firstColumn="0" w:lastColumn="0" w:oddVBand="0" w:evenVBand="0" w:oddHBand="0" w:evenHBand="0" w:firstRowFirstColumn="0" w:firstRowLastColumn="0" w:lastRowFirstColumn="0" w:lastRowLastColumn="0"/>
              <w:rPr>
                <w:sz w:val="20"/>
                <w:szCs w:val="20"/>
              </w:rPr>
            </w:pPr>
            <w:r w:rsidRPr="009238BF">
              <w:rPr>
                <w:sz w:val="20"/>
                <w:szCs w:val="20"/>
              </w:rPr>
              <w:t>How to read, analyse and critically explore the character development, themes and Edwardian context of ‘An Inspector Calls’</w:t>
            </w:r>
            <w:r>
              <w:rPr>
                <w:sz w:val="20"/>
                <w:szCs w:val="20"/>
              </w:rPr>
              <w:t>.</w:t>
            </w:r>
          </w:p>
        </w:tc>
      </w:tr>
      <w:tr w:rsidR="002422EA" w:rsidRPr="001D14A5" w14:paraId="42EBBD96" w14:textId="6F3979B8" w:rsidTr="002422E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40" w:type="dxa"/>
          </w:tcPr>
          <w:p w14:paraId="7602DA96" w14:textId="77777777" w:rsidR="002422EA" w:rsidRPr="001D14A5" w:rsidRDefault="002422EA" w:rsidP="002422EA">
            <w:pPr>
              <w:rPr>
                <w:sz w:val="20"/>
                <w:szCs w:val="20"/>
              </w:rPr>
            </w:pPr>
            <w:r w:rsidRPr="001D14A5">
              <w:rPr>
                <w:sz w:val="20"/>
                <w:szCs w:val="20"/>
              </w:rPr>
              <w:t>Components</w:t>
            </w:r>
          </w:p>
        </w:tc>
        <w:tc>
          <w:tcPr>
            <w:tcW w:w="4933" w:type="dxa"/>
            <w:gridSpan w:val="2"/>
          </w:tcPr>
          <w:p w14:paraId="57B57697"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1D14A5">
              <w:rPr>
                <w:sz w:val="20"/>
                <w:szCs w:val="20"/>
              </w:rPr>
              <w:t>Reading a range of Sherlock Holmes stories, including The Speckled Band and The Man with the Twisted Lip, to see how the stories are created.</w:t>
            </w:r>
          </w:p>
          <w:p w14:paraId="6793571E"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1A82190E"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1D14A5">
              <w:rPr>
                <w:sz w:val="20"/>
                <w:szCs w:val="20"/>
              </w:rPr>
              <w:t>Exploration of Victorian society and how this is portrayed within the short stories, in order to understand the influences on the writer’s choices.</w:t>
            </w:r>
          </w:p>
          <w:p w14:paraId="0C07EAEE"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26CC72D2"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1D14A5">
              <w:rPr>
                <w:sz w:val="20"/>
                <w:szCs w:val="20"/>
              </w:rPr>
              <w:t>Use relevant, concise quotations and textual reference when writing about the stories to support and develop an interpretation in an extended analysis.</w:t>
            </w:r>
          </w:p>
          <w:p w14:paraId="0C5DAB46"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00804CC3"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1D14A5">
              <w:rPr>
                <w:sz w:val="20"/>
                <w:szCs w:val="20"/>
              </w:rPr>
              <w:t>Explore the writer’s craft in order to identify and comment on language, tone and structural techniques used by Conan Doyle.</w:t>
            </w:r>
          </w:p>
          <w:p w14:paraId="550D8E62"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041C32A1" w14:textId="77777777" w:rsidR="002422EA" w:rsidRPr="001D14A5" w:rsidRDefault="002422EA" w:rsidP="002422E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0"/>
                <w:szCs w:val="20"/>
              </w:rPr>
            </w:pPr>
            <w:r w:rsidRPr="001D14A5">
              <w:rPr>
                <w:rStyle w:val="normaltextrun"/>
                <w:rFonts w:asciiTheme="minorHAnsi" w:hAnsiTheme="minorHAnsi" w:cstheme="minorHAnsi"/>
                <w:sz w:val="20"/>
                <w:szCs w:val="20"/>
              </w:rPr>
              <w:t>Explore the events and ideas in the stories in order to understand, describe, and interpret information, events or ideas from the short stories and use quotations when writing about the stories.</w:t>
            </w:r>
          </w:p>
          <w:p w14:paraId="48CEEE14" w14:textId="77777777" w:rsidR="002422EA" w:rsidRPr="001D14A5" w:rsidRDefault="002422EA" w:rsidP="002422E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0"/>
                <w:szCs w:val="20"/>
              </w:rPr>
            </w:pPr>
          </w:p>
          <w:p w14:paraId="459059D2"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1D14A5">
              <w:rPr>
                <w:sz w:val="20"/>
                <w:szCs w:val="20"/>
              </w:rPr>
              <w:t>To explore how Conan Doyle creates character and how characters develop or change across the stories in order to show consideration of how structure is used to influence the reader.</w:t>
            </w:r>
          </w:p>
          <w:p w14:paraId="4DD29DFC"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2403BE71"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1D14A5">
              <w:rPr>
                <w:sz w:val="20"/>
                <w:szCs w:val="20"/>
              </w:rPr>
              <w:t>To identify the writer’s choice of vocabulary, grammatical and structural features in order to evaluate how a writer creates meaning and effects.</w:t>
            </w:r>
          </w:p>
          <w:p w14:paraId="3EADAC20"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27B10E82"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rStyle w:val="normaltextrun"/>
                <w:sz w:val="20"/>
                <w:szCs w:val="20"/>
              </w:rPr>
            </w:pPr>
            <w:r w:rsidRPr="001D14A5">
              <w:rPr>
                <w:sz w:val="20"/>
                <w:szCs w:val="20"/>
              </w:rPr>
              <w:t>To use a critical style in order to structure and develop an effective argument.</w:t>
            </w:r>
          </w:p>
          <w:p w14:paraId="4E86649F" w14:textId="77777777" w:rsidR="002422EA" w:rsidRPr="001D14A5" w:rsidRDefault="002422EA" w:rsidP="002422E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sz w:val="20"/>
                <w:szCs w:val="20"/>
              </w:rPr>
            </w:pPr>
          </w:p>
          <w:p w14:paraId="14CF07F9" w14:textId="77777777" w:rsidR="002422EA" w:rsidRPr="001D14A5" w:rsidRDefault="002422EA" w:rsidP="002422EA">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1D14A5">
              <w:rPr>
                <w:rFonts w:asciiTheme="minorHAnsi" w:hAnsiTheme="minorHAnsi" w:cstheme="minorHAnsi"/>
                <w:sz w:val="20"/>
                <w:szCs w:val="20"/>
              </w:rPr>
              <w:t xml:space="preserve">Explore and analyse connections between the short stories. </w:t>
            </w:r>
          </w:p>
          <w:p w14:paraId="264938DF"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2A3A140C" w14:textId="015418BF"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tc>
        <w:tc>
          <w:tcPr>
            <w:tcW w:w="2380" w:type="dxa"/>
          </w:tcPr>
          <w:p w14:paraId="111FC988"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tc>
        <w:tc>
          <w:tcPr>
            <w:tcW w:w="2380" w:type="dxa"/>
          </w:tcPr>
          <w:p w14:paraId="0B833097"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tc>
        <w:tc>
          <w:tcPr>
            <w:tcW w:w="4249" w:type="dxa"/>
          </w:tcPr>
          <w:p w14:paraId="24B9F50F"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tc>
        <w:tc>
          <w:tcPr>
            <w:tcW w:w="4249" w:type="dxa"/>
            <w:tcBorders>
              <w:right w:val="single" w:sz="4" w:space="0" w:color="auto"/>
            </w:tcBorders>
          </w:tcPr>
          <w:p w14:paraId="5EC7E148"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9238BF">
              <w:rPr>
                <w:sz w:val="20"/>
                <w:szCs w:val="20"/>
              </w:rPr>
              <w:t>To explore the Edwardian, 1910s British context and how this affects the events and characters in the play. This include</w:t>
            </w:r>
            <w:r>
              <w:rPr>
                <w:sz w:val="20"/>
                <w:szCs w:val="20"/>
              </w:rPr>
              <w:t>s</w:t>
            </w:r>
            <w:r w:rsidRPr="009238BF">
              <w:rPr>
                <w:sz w:val="20"/>
                <w:szCs w:val="20"/>
              </w:rPr>
              <w:t xml:space="preserve">: working life and rights, Priestley’s life and times, capitalism versus socialism, family, </w:t>
            </w:r>
            <w:r>
              <w:rPr>
                <w:sz w:val="20"/>
                <w:szCs w:val="20"/>
              </w:rPr>
              <w:t xml:space="preserve">gender, </w:t>
            </w:r>
            <w:r w:rsidRPr="009238BF">
              <w:rPr>
                <w:sz w:val="20"/>
                <w:szCs w:val="20"/>
              </w:rPr>
              <w:t xml:space="preserve">class and hierarchy. </w:t>
            </w:r>
          </w:p>
          <w:p w14:paraId="351A60FF"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5007E84F"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9238BF">
              <w:rPr>
                <w:sz w:val="20"/>
                <w:szCs w:val="20"/>
              </w:rPr>
              <w:t>Read the play</w:t>
            </w:r>
            <w:r>
              <w:rPr>
                <w:sz w:val="20"/>
                <w:szCs w:val="20"/>
              </w:rPr>
              <w:t xml:space="preserve">, </w:t>
            </w:r>
            <w:r w:rsidRPr="009238BF">
              <w:rPr>
                <w:sz w:val="20"/>
                <w:szCs w:val="20"/>
              </w:rPr>
              <w:t xml:space="preserve">explore events and ideas in the play in order to understand describe, and interpret information to support and develop an interpretation in an extended analysis. </w:t>
            </w:r>
          </w:p>
          <w:p w14:paraId="5A67F816"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61A55894"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9238BF">
              <w:rPr>
                <w:sz w:val="20"/>
                <w:szCs w:val="20"/>
              </w:rPr>
              <w:t>Explore how Priestley creates character and how characters develop or change throughout the play</w:t>
            </w:r>
            <w:r>
              <w:rPr>
                <w:sz w:val="20"/>
                <w:szCs w:val="20"/>
              </w:rPr>
              <w:t xml:space="preserve"> in order to show consideration of how structure is used to convey meaning and influence the reader</w:t>
            </w:r>
            <w:r w:rsidRPr="009238BF">
              <w:rPr>
                <w:sz w:val="20"/>
                <w:szCs w:val="20"/>
              </w:rPr>
              <w:t>.</w:t>
            </w:r>
          </w:p>
          <w:p w14:paraId="1F4417E2"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12550515"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w:t>
            </w:r>
            <w:r w:rsidRPr="009238BF">
              <w:rPr>
                <w:sz w:val="20"/>
                <w:szCs w:val="20"/>
              </w:rPr>
              <w:t>se relevant, concise quotations and/or textual references when writing about the play</w:t>
            </w:r>
            <w:r>
              <w:rPr>
                <w:sz w:val="20"/>
                <w:szCs w:val="20"/>
              </w:rPr>
              <w:t xml:space="preserve"> in order to develop a convincing and informed personal response</w:t>
            </w:r>
            <w:r w:rsidRPr="009238BF">
              <w:rPr>
                <w:sz w:val="20"/>
                <w:szCs w:val="20"/>
              </w:rPr>
              <w:t xml:space="preserve">. </w:t>
            </w:r>
          </w:p>
          <w:p w14:paraId="62B0B125"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2F88D353"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9238BF">
              <w:rPr>
                <w:sz w:val="20"/>
                <w:szCs w:val="20"/>
              </w:rPr>
              <w:t xml:space="preserve">Explore the writer’s craft in order to identify and comment on language, tone and structural techniques used by Priestley. </w:t>
            </w:r>
          </w:p>
          <w:p w14:paraId="2F1FECCC"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76CC192F"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9238BF">
              <w:rPr>
                <w:sz w:val="20"/>
                <w:szCs w:val="20"/>
              </w:rPr>
              <w:t xml:space="preserve">Analyse how settings are used </w:t>
            </w:r>
            <w:r>
              <w:rPr>
                <w:sz w:val="20"/>
                <w:szCs w:val="20"/>
              </w:rPr>
              <w:t xml:space="preserve">to understand </w:t>
            </w:r>
            <w:r w:rsidRPr="009238BF">
              <w:rPr>
                <w:sz w:val="20"/>
                <w:szCs w:val="20"/>
              </w:rPr>
              <w:t xml:space="preserve">how they add meaning </w:t>
            </w:r>
            <w:r>
              <w:rPr>
                <w:sz w:val="20"/>
                <w:szCs w:val="20"/>
              </w:rPr>
              <w:t xml:space="preserve">to </w:t>
            </w:r>
            <w:r w:rsidRPr="009238BF">
              <w:rPr>
                <w:sz w:val="20"/>
                <w:szCs w:val="20"/>
              </w:rPr>
              <w:t>the play.</w:t>
            </w:r>
          </w:p>
          <w:p w14:paraId="0EEF206E"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06BBD549" w14:textId="77777777" w:rsidR="002422EA"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sidRPr="009238BF">
              <w:rPr>
                <w:sz w:val="20"/>
                <w:szCs w:val="20"/>
              </w:rPr>
              <w:t>Understand the key themes of the play in order to explore how they are developed and shown throughout the play</w:t>
            </w:r>
            <w:r>
              <w:rPr>
                <w:sz w:val="20"/>
                <w:szCs w:val="20"/>
              </w:rPr>
              <w:t xml:space="preserve"> in order to develop a considered interpretation</w:t>
            </w:r>
            <w:r w:rsidRPr="009238BF">
              <w:rPr>
                <w:sz w:val="20"/>
                <w:szCs w:val="20"/>
              </w:rPr>
              <w:t>.</w:t>
            </w:r>
          </w:p>
          <w:p w14:paraId="6EF20345" w14:textId="77777777" w:rsidR="002422EA"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p w14:paraId="55745F48" w14:textId="77777777" w:rsidR="002422EA" w:rsidRPr="009238BF"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To use a critical style in order to structure and develop an effective argument.</w:t>
            </w:r>
          </w:p>
          <w:p w14:paraId="0AFF8A26" w14:textId="77777777" w:rsidR="002422EA" w:rsidRPr="001D14A5" w:rsidRDefault="002422EA" w:rsidP="002422EA">
            <w:pPr>
              <w:cnfStyle w:val="000000100000" w:firstRow="0" w:lastRow="0" w:firstColumn="0" w:lastColumn="0" w:oddVBand="0" w:evenVBand="0" w:oddHBand="1" w:evenHBand="0" w:firstRowFirstColumn="0" w:firstRowLastColumn="0" w:lastRowFirstColumn="0" w:lastRowLastColumn="0"/>
              <w:rPr>
                <w:sz w:val="20"/>
                <w:szCs w:val="20"/>
              </w:rPr>
            </w:pPr>
          </w:p>
        </w:tc>
      </w:tr>
    </w:tbl>
    <w:p w14:paraId="7519E960" w14:textId="77777777" w:rsidR="00FC2FAB" w:rsidRPr="001D14A5" w:rsidRDefault="00FC2FAB" w:rsidP="00FC2FAB">
      <w:pPr>
        <w:rPr>
          <w:sz w:val="20"/>
          <w:szCs w:val="20"/>
        </w:rPr>
      </w:pPr>
    </w:p>
    <w:sectPr w:rsidR="00FC2FAB" w:rsidRPr="001D14A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4C06"/>
    <w:rsid w:val="000343D2"/>
    <w:rsid w:val="000B2C1D"/>
    <w:rsid w:val="000D1ABD"/>
    <w:rsid w:val="000F4C5B"/>
    <w:rsid w:val="00164D56"/>
    <w:rsid w:val="001D14A5"/>
    <w:rsid w:val="001F3CC3"/>
    <w:rsid w:val="001F40E9"/>
    <w:rsid w:val="002422EA"/>
    <w:rsid w:val="00243998"/>
    <w:rsid w:val="002475CF"/>
    <w:rsid w:val="00311588"/>
    <w:rsid w:val="0038346C"/>
    <w:rsid w:val="003A439E"/>
    <w:rsid w:val="00447F1F"/>
    <w:rsid w:val="00485B81"/>
    <w:rsid w:val="005B4C33"/>
    <w:rsid w:val="006422EC"/>
    <w:rsid w:val="006742F7"/>
    <w:rsid w:val="006D3263"/>
    <w:rsid w:val="00703F40"/>
    <w:rsid w:val="00724CAB"/>
    <w:rsid w:val="0078757B"/>
    <w:rsid w:val="008A79D2"/>
    <w:rsid w:val="008A7E3F"/>
    <w:rsid w:val="008B41C4"/>
    <w:rsid w:val="008B442F"/>
    <w:rsid w:val="008D0300"/>
    <w:rsid w:val="009505A2"/>
    <w:rsid w:val="009D5AE6"/>
    <w:rsid w:val="00A342F0"/>
    <w:rsid w:val="00AA380E"/>
    <w:rsid w:val="00AD7B31"/>
    <w:rsid w:val="00B4328C"/>
    <w:rsid w:val="00BA7B1E"/>
    <w:rsid w:val="00BB40B8"/>
    <w:rsid w:val="00BC34CB"/>
    <w:rsid w:val="00BC516B"/>
    <w:rsid w:val="00C357ED"/>
    <w:rsid w:val="00CD1790"/>
    <w:rsid w:val="00D10434"/>
    <w:rsid w:val="00D759A7"/>
    <w:rsid w:val="00D86CFF"/>
    <w:rsid w:val="00DF2370"/>
    <w:rsid w:val="00E24FC4"/>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paragraph" w:styleId="NormalWeb">
    <w:name w:val="Normal (Web)"/>
    <w:basedOn w:val="Normal"/>
    <w:uiPriority w:val="99"/>
    <w:semiHidden/>
    <w:unhideWhenUsed/>
    <w:rsid w:val="002422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422EA"/>
    <w:pPr>
      <w:autoSpaceDE w:val="0"/>
      <w:autoSpaceDN w:val="0"/>
      <w:adjustRightInd w:val="0"/>
      <w:spacing w:after="0" w:line="240" w:lineRule="auto"/>
    </w:pPr>
    <w:rPr>
      <w:rFonts w:ascii="Arial" w:eastAsiaTheme="minorEastAsia"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3" ma:contentTypeDescription="Create a new document." ma:contentTypeScope="" ma:versionID="8df3641157b2864342a6ff25ffdd56b8">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cb5c4ec63d76df6e8fc988368a018fea"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c831d9e8-80e4-4025-8f7f-e56b4d92be4a"/>
    <ds:schemaRef ds:uri="http://schemas.microsoft.com/office/2006/metadata/properties"/>
    <ds:schemaRef ds:uri="http://purl.org/dc/terms/"/>
    <ds:schemaRef ds:uri="http://www.w3.org/XML/1998/namespace"/>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57565e44-8b24-4f66-aa76-9dc29aad0991"/>
    <ds:schemaRef ds:uri="http://purl.org/dc/dcmitype/"/>
  </ds:schemaRefs>
</ds:datastoreItem>
</file>

<file path=customXml/itemProps3.xml><?xml version="1.0" encoding="utf-8"?>
<ds:datastoreItem xmlns:ds="http://schemas.openxmlformats.org/officeDocument/2006/customXml" ds:itemID="{074088E1-C0B0-4326-9BE2-C107EF5E9D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473</Words>
  <Characters>2698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2022-11-08T11:41:00Z</dcterms:created>
  <dcterms:modified xsi:type="dcterms:W3CDTF">2022-11-08T11:41:00Z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